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jc w:val="right"/>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02">
      <w:pPr>
        <w:spacing w:after="0" w:line="211" w:lineRule="auto"/>
        <w:jc w:val="center"/>
        <w:rPr>
          <w:rFonts w:ascii="Times New Roman" w:cs="Times New Roman" w:eastAsia="Times New Roman" w:hAnsi="Times New Roman"/>
          <w:sz w:val="28"/>
          <w:szCs w:val="28"/>
        </w:rPr>
      </w:pPr>
      <w:r w:rsidDel="00000000" w:rsidR="00000000" w:rsidRPr="00000000">
        <w:rPr>
          <w:rtl w:val="0"/>
        </w:rPr>
      </w:r>
    </w:p>
    <w:tbl>
      <w:tblPr>
        <w:tblStyle w:val="Table1"/>
        <w:tblW w:w="9571.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76"/>
        <w:gridCol w:w="7195"/>
        <w:tblGridChange w:id="0">
          <w:tblGrid>
            <w:gridCol w:w="2376"/>
            <w:gridCol w:w="7195"/>
          </w:tblGrid>
        </w:tblGridChange>
      </w:tblGrid>
      <w:tr>
        <w:trPr>
          <w:cantSplit w:val="0"/>
          <w:tblHeader w:val="0"/>
        </w:trPr>
        <w:tc>
          <w:tcPr/>
          <w:p w:rsidR="00000000" w:rsidDel="00000000" w:rsidP="00000000" w:rsidRDefault="00000000" w:rsidRPr="00000000" w14:paraId="00000003">
            <w:pPr>
              <w:spacing w:line="211" w:lineRule="auto"/>
              <w:jc w:val="center"/>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104900" cy="1104900"/>
                  <wp:effectExtent b="0" l="0" r="0" t="0"/>
                  <wp:wrapSquare wrapText="bothSides" distB="0" distT="0" distL="114300" distR="114300"/>
                  <wp:docPr descr="лого-РГСУ-2015.png" id="1" name="image1.png"/>
                  <a:graphic>
                    <a:graphicData uri="http://schemas.openxmlformats.org/drawingml/2006/picture">
                      <pic:pic>
                        <pic:nvPicPr>
                          <pic:cNvPr descr="лого-РГСУ-2015.png" id="0" name="image1.png"/>
                          <pic:cNvPicPr preferRelativeResize="0"/>
                        </pic:nvPicPr>
                        <pic:blipFill>
                          <a:blip r:embed="rId7"/>
                          <a:srcRect b="0" l="0" r="0" t="0"/>
                          <a:stretch>
                            <a:fillRect/>
                          </a:stretch>
                        </pic:blipFill>
                        <pic:spPr>
                          <a:xfrm>
                            <a:off x="0" y="0"/>
                            <a:ext cx="1104900" cy="1104900"/>
                          </a:xfrm>
                          <a:prstGeom prst="rect"/>
                          <a:ln/>
                        </pic:spPr>
                      </pic:pic>
                    </a:graphicData>
                  </a:graphic>
                </wp:anchor>
              </w:drawing>
            </w:r>
          </w:p>
        </w:tc>
        <w:tc>
          <w:tcPr>
            <w:vAlign w:val="center"/>
          </w:tcPr>
          <w:p w:rsidR="00000000" w:rsidDel="00000000" w:rsidP="00000000" w:rsidRDefault="00000000" w:rsidRPr="00000000" w14:paraId="00000004">
            <w:pPr>
              <w:spacing w:line="211"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Российский государственный социальный университет</w:t>
            </w:r>
          </w:p>
          <w:p w:rsidR="00000000" w:rsidDel="00000000" w:rsidP="00000000" w:rsidRDefault="00000000" w:rsidRPr="00000000" w14:paraId="00000005">
            <w:pPr>
              <w:spacing w:line="211"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line="211" w:lineRule="auto"/>
              <w:jc w:val="center"/>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007">
      <w:pPr>
        <w:spacing w:after="0" w:line="211"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36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РЕФЕРАТ</w:t>
      </w:r>
    </w:p>
    <w:p w:rsidR="00000000" w:rsidDel="00000000" w:rsidP="00000000" w:rsidRDefault="00000000" w:rsidRPr="00000000" w14:paraId="0000000A">
      <w:pPr>
        <w:spacing w:after="36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 дисциплине «______________________________»</w:t>
      </w:r>
    </w:p>
    <w:p w:rsidR="00000000" w:rsidDel="00000000" w:rsidP="00000000" w:rsidRDefault="00000000" w:rsidRPr="00000000" w14:paraId="0000000B">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1"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Формы ответственности исполнителя,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1"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доказывания убытков</w:t>
      </w:r>
      <w:r w:rsidDel="00000000" w:rsidR="00000000" w:rsidRPr="00000000">
        <w:rPr>
          <w:rtl w:val="0"/>
        </w:rPr>
      </w:r>
    </w:p>
    <w:p w:rsidR="00000000" w:rsidDel="00000000" w:rsidP="00000000" w:rsidRDefault="00000000" w:rsidRPr="00000000" w14:paraId="0000000E">
      <w:pPr>
        <w:spacing w:after="0" w:line="211"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(тема реферата)</w:t>
      </w:r>
    </w:p>
    <w:p w:rsidR="00000000" w:rsidDel="00000000" w:rsidP="00000000" w:rsidRDefault="00000000" w:rsidRPr="00000000" w14:paraId="0000000F">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0" w:line="211" w:lineRule="auto"/>
        <w:jc w:val="both"/>
        <w:rPr>
          <w:rFonts w:ascii="Times New Roman" w:cs="Times New Roman" w:eastAsia="Times New Roman" w:hAnsi="Times New Roman"/>
          <w:sz w:val="28"/>
          <w:szCs w:val="28"/>
        </w:rPr>
      </w:pPr>
      <w:r w:rsidDel="00000000" w:rsidR="00000000" w:rsidRPr="00000000">
        <w:rPr>
          <w:rtl w:val="0"/>
        </w:rPr>
      </w:r>
    </w:p>
    <w:tbl>
      <w:tblPr>
        <w:tblStyle w:val="Table2"/>
        <w:tblW w:w="772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3"/>
        <w:gridCol w:w="4570"/>
        <w:tblGridChange w:id="0">
          <w:tblGrid>
            <w:gridCol w:w="3153"/>
            <w:gridCol w:w="4570"/>
          </w:tblGrid>
        </w:tblGridChange>
      </w:tblGrid>
      <w:tr>
        <w:trPr>
          <w:cantSplit w:val="0"/>
          <w:trHeight w:val="567" w:hRule="atLeast"/>
          <w:tblHeader w:val="0"/>
        </w:trPr>
        <w:tc>
          <w:tcPr>
            <w:vAlign w:val="center"/>
          </w:tcPr>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ФИО студента</w:t>
            </w:r>
          </w:p>
        </w:tc>
        <w:tc>
          <w:tcPr>
            <w:vAlign w:val="center"/>
          </w:tcPr>
          <w:p w:rsidR="00000000" w:rsidDel="00000000" w:rsidP="00000000" w:rsidRDefault="00000000" w:rsidRPr="00000000" w14:paraId="00000015">
            <w:pPr>
              <w:ind w:right="-2126"/>
              <w:rPr>
                <w:rFonts w:ascii="Times New Roman" w:cs="Times New Roman" w:eastAsia="Times New Roman" w:hAnsi="Times New Roman"/>
                <w:sz w:val="28"/>
                <w:szCs w:val="28"/>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Направление подготовки</w:t>
            </w:r>
          </w:p>
        </w:tc>
        <w:tc>
          <w:tcPr>
            <w:vAlign w:val="center"/>
          </w:tcPr>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Группа</w:t>
            </w:r>
          </w:p>
        </w:tc>
        <w:tc>
          <w:tcPr>
            <w:vAlign w:val="center"/>
          </w:tcPr>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1A">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after="0" w:line="211"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after="0" w:line="211"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Москва 2021</w:t>
      </w:r>
      <w:r w:rsidDel="00000000" w:rsidR="00000000" w:rsidRPr="00000000">
        <w:br w:type="page"/>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480" w:line="36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Оглавление</w:t>
      </w:r>
    </w:p>
    <w:sdt>
      <w:sdtPr>
        <w:docPartObj>
          <w:docPartGallery w:val="Table of Contents"/>
          <w:docPartUnique w:val="1"/>
        </w:docPartObj>
      </w:sdtPr>
      <w:sdtContent>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4.511811023624"/>
            </w:tabs>
            <w:spacing w:after="0" w:before="0" w:line="360" w:lineRule="auto"/>
            <w:ind w:left="0" w:right="0" w:firstLine="0"/>
            <w:jc w:val="left"/>
            <w:rPr>
              <w:rFonts w:ascii="Times New Roman" w:cs="Times New Roman" w:eastAsia="Times New Roman" w:hAnsi="Times New Roman"/>
              <w:sz w:val="28"/>
              <w:szCs w:val="28"/>
            </w:rPr>
          </w:pPr>
          <w:r w:rsidDel="00000000" w:rsidR="00000000" w:rsidRPr="00000000">
            <w:fldChar w:fldCharType="begin"/>
            <w:instrText xml:space="preserve"> TOC \h \u \z </w:instrText>
            <w:fldChar w:fldCharType="separate"/>
          </w:r>
          <w:hyperlink w:anchor="_ried3gwissw7">
            <w:r w:rsidDel="00000000" w:rsidR="00000000" w:rsidRPr="00000000">
              <w:rPr>
                <w:rFonts w:ascii="Times New Roman" w:cs="Times New Roman" w:eastAsia="Times New Roman" w:hAnsi="Times New Roman"/>
                <w:sz w:val="28"/>
                <w:szCs w:val="28"/>
                <w:rtl w:val="0"/>
              </w:rPr>
              <w:t xml:space="preserve">Введение</w:t>
            </w:r>
          </w:hyperlink>
          <w:r w:rsidDel="00000000" w:rsidR="00000000" w:rsidRPr="00000000">
            <w:rPr>
              <w:rFonts w:ascii="Times New Roman" w:cs="Times New Roman" w:eastAsia="Times New Roman" w:hAnsi="Times New Roman"/>
              <w:sz w:val="28"/>
              <w:szCs w:val="28"/>
              <w:rtl w:val="0"/>
            </w:rPr>
            <w:t xml:space="preserve">…………………………………………………………………………..</w:t>
            <w:tab/>
          </w:r>
          <w:r w:rsidDel="00000000" w:rsidR="00000000" w:rsidRPr="00000000">
            <w:fldChar w:fldCharType="begin"/>
            <w:instrText xml:space="preserve"> PAGEREF _ried3gwissw7 \h </w:instrText>
            <w:fldChar w:fldCharType="separate"/>
          </w:r>
          <w:r w:rsidDel="00000000" w:rsidR="00000000" w:rsidRPr="00000000">
            <w:rPr>
              <w:rFonts w:ascii="Times New Roman" w:cs="Times New Roman" w:eastAsia="Times New Roman" w:hAnsi="Times New Roman"/>
              <w:sz w:val="28"/>
              <w:szCs w:val="28"/>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4.511811023624"/>
            </w:tabs>
            <w:spacing w:after="0" w:before="0" w:line="360" w:lineRule="auto"/>
            <w:ind w:left="0" w:right="0" w:firstLine="0"/>
            <w:jc w:val="left"/>
            <w:rPr>
              <w:rFonts w:ascii="Times New Roman" w:cs="Times New Roman" w:eastAsia="Times New Roman" w:hAnsi="Times New Roman"/>
              <w:sz w:val="28"/>
              <w:szCs w:val="28"/>
            </w:rPr>
          </w:pPr>
          <w:hyperlink w:anchor="_ju0d6044omy5">
            <w:r w:rsidDel="00000000" w:rsidR="00000000" w:rsidRPr="00000000">
              <w:rPr>
                <w:rFonts w:ascii="Times New Roman" w:cs="Times New Roman" w:eastAsia="Times New Roman" w:hAnsi="Times New Roman"/>
                <w:sz w:val="28"/>
                <w:szCs w:val="28"/>
                <w:rtl w:val="0"/>
              </w:rPr>
              <w:t xml:space="preserve">Формы ответственности исполнителя, проблема доказывания убытков</w:t>
            </w:r>
          </w:hyperlink>
          <w:r w:rsidDel="00000000" w:rsidR="00000000" w:rsidRPr="00000000">
            <w:rPr>
              <w:rFonts w:ascii="Times New Roman" w:cs="Times New Roman" w:eastAsia="Times New Roman" w:hAnsi="Times New Roman"/>
              <w:sz w:val="28"/>
              <w:szCs w:val="28"/>
              <w:rtl w:val="0"/>
            </w:rPr>
            <w:t xml:space="preserve">……..</w:t>
            <w:tab/>
          </w:r>
          <w:r w:rsidDel="00000000" w:rsidR="00000000" w:rsidRPr="00000000">
            <w:fldChar w:fldCharType="begin"/>
            <w:instrText xml:space="preserve"> PAGEREF _ju0d6044omy5 \h </w:instrText>
            <w:fldChar w:fldCharType="separate"/>
          </w:r>
          <w:r w:rsidDel="00000000" w:rsidR="00000000" w:rsidRPr="00000000">
            <w:rPr>
              <w:rFonts w:ascii="Times New Roman" w:cs="Times New Roman" w:eastAsia="Times New Roman" w:hAnsi="Times New Roman"/>
              <w:sz w:val="28"/>
              <w:szCs w:val="28"/>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4.511811023624"/>
            </w:tabs>
            <w:spacing w:after="0" w:before="0" w:line="360" w:lineRule="auto"/>
            <w:ind w:left="0" w:right="0" w:firstLine="0"/>
            <w:jc w:val="left"/>
            <w:rPr>
              <w:rFonts w:ascii="Times New Roman" w:cs="Times New Roman" w:eastAsia="Times New Roman" w:hAnsi="Times New Roman"/>
              <w:sz w:val="28"/>
              <w:szCs w:val="28"/>
            </w:rPr>
          </w:pPr>
          <w:hyperlink w:anchor="_w4ynu3g3e87k">
            <w:r w:rsidDel="00000000" w:rsidR="00000000" w:rsidRPr="00000000">
              <w:rPr>
                <w:rFonts w:ascii="Times New Roman" w:cs="Times New Roman" w:eastAsia="Times New Roman" w:hAnsi="Times New Roman"/>
                <w:sz w:val="28"/>
                <w:szCs w:val="28"/>
                <w:rtl w:val="0"/>
              </w:rPr>
              <w:t xml:space="preserve">Заключение</w:t>
            </w:r>
          </w:hyperlink>
          <w:r w:rsidDel="00000000" w:rsidR="00000000" w:rsidRPr="00000000">
            <w:rPr>
              <w:rFonts w:ascii="Times New Roman" w:cs="Times New Roman" w:eastAsia="Times New Roman" w:hAnsi="Times New Roman"/>
              <w:sz w:val="28"/>
              <w:szCs w:val="28"/>
              <w:rtl w:val="0"/>
            </w:rPr>
            <w:t xml:space="preserve">……………………………………………………………………....</w:t>
            <w:tab/>
          </w:r>
          <w:r w:rsidDel="00000000" w:rsidR="00000000" w:rsidRPr="00000000">
            <w:fldChar w:fldCharType="begin"/>
            <w:instrText xml:space="preserve"> PAGEREF _w4ynu3g3e87k \h </w:instrText>
            <w:fldChar w:fldCharType="separate"/>
          </w:r>
          <w:r w:rsidDel="00000000" w:rsidR="00000000" w:rsidRPr="00000000">
            <w:rPr>
              <w:rFonts w:ascii="Times New Roman" w:cs="Times New Roman" w:eastAsia="Times New Roman" w:hAnsi="Times New Roman"/>
              <w:sz w:val="28"/>
              <w:szCs w:val="28"/>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4.511811023624"/>
            </w:tabs>
            <w:spacing w:after="0" w:before="0" w:line="360" w:lineRule="auto"/>
            <w:ind w:left="0" w:right="0" w:firstLine="0"/>
            <w:jc w:val="left"/>
            <w:rPr>
              <w:rFonts w:ascii="Times New Roman" w:cs="Times New Roman" w:eastAsia="Times New Roman" w:hAnsi="Times New Roman"/>
              <w:sz w:val="28"/>
              <w:szCs w:val="28"/>
            </w:rPr>
          </w:pPr>
          <w:hyperlink w:anchor="_r653pgxc2cbr">
            <w:r w:rsidDel="00000000" w:rsidR="00000000" w:rsidRPr="00000000">
              <w:rPr>
                <w:rFonts w:ascii="Times New Roman" w:cs="Times New Roman" w:eastAsia="Times New Roman" w:hAnsi="Times New Roman"/>
                <w:sz w:val="28"/>
                <w:szCs w:val="28"/>
                <w:rtl w:val="0"/>
              </w:rPr>
              <w:t xml:space="preserve">Список реферируемой литературы</w:t>
            </w:r>
          </w:hyperlink>
          <w:r w:rsidDel="00000000" w:rsidR="00000000" w:rsidRPr="00000000">
            <w:rPr>
              <w:rFonts w:ascii="Times New Roman" w:cs="Times New Roman" w:eastAsia="Times New Roman" w:hAnsi="Times New Roman"/>
              <w:sz w:val="28"/>
              <w:szCs w:val="28"/>
              <w:rtl w:val="0"/>
            </w:rPr>
            <w:t xml:space="preserve">……………………………………………..</w:t>
            <w:tab/>
          </w:r>
          <w:r w:rsidDel="00000000" w:rsidR="00000000" w:rsidRPr="00000000">
            <w:fldChar w:fldCharType="begin"/>
            <w:instrText xml:space="preserve"> PAGEREF _r653pgxc2cbr \h </w:instrText>
            <w:fldChar w:fldCharType="separate"/>
          </w:r>
          <w:r w:rsidDel="00000000" w:rsidR="00000000" w:rsidRPr="00000000">
            <w:rPr>
              <w:rFonts w:ascii="Times New Roman" w:cs="Times New Roman" w:eastAsia="Times New Roman" w:hAnsi="Times New Roman"/>
              <w:sz w:val="28"/>
              <w:szCs w:val="28"/>
              <w:rtl w:val="0"/>
            </w:rPr>
            <w:t xml:space="preserve">12</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480" w:line="36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480" w:before="480" w:line="360" w:lineRule="auto"/>
        <w:ind w:left="0" w:right="0" w:firstLine="0"/>
        <w:jc w:val="center"/>
        <w:rPr>
          <w:rFonts w:ascii="Times New Roman" w:cs="Times New Roman" w:eastAsia="Times New Roman" w:hAnsi="Times New Roman"/>
          <w:b w:val="0"/>
          <w:sz w:val="28"/>
          <w:szCs w:val="28"/>
        </w:rPr>
      </w:pPr>
      <w:bookmarkStart w:colFirst="0" w:colLast="0" w:name="_ried3gwissw7" w:id="0"/>
      <w:bookmarkEnd w:id="0"/>
      <w:r w:rsidDel="00000000" w:rsidR="00000000" w:rsidRPr="00000000">
        <w:rPr>
          <w:rFonts w:ascii="Times New Roman" w:cs="Times New Roman" w:eastAsia="Times New Roman" w:hAnsi="Times New Roman"/>
          <w:b w:val="0"/>
          <w:sz w:val="28"/>
          <w:szCs w:val="28"/>
          <w:rtl w:val="0"/>
        </w:rPr>
        <w:t xml:space="preserve">Введение</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Вопрос гражданско-правовой ответственности и ее форм на сегодняшний день приобретает особую актуальность. При изучении судебной практики можно увидеть, что существует множество нерешенных проблем, относящихся к проблемам доказывания убытков. Все граждане Российской Федерации обязаны исполнять свои обязательства в надлежащей форме в целях эффективного развития и работы гражданского оборота. Гражданско-правовая ответственность выступает одним из видов юридической ответственности. Существование такой ответственности необходимо в правовом государстве для того, чтобы минимизировать негативные последствия неисполнения гражданами своих обязанностей. </w:t>
      </w:r>
    </w:p>
    <w:p w:rsidR="00000000" w:rsidDel="00000000" w:rsidP="00000000" w:rsidRDefault="00000000" w:rsidRPr="00000000" w14:paraId="0000003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Рассматриваемой проблеме были посвящены труды многих известных ученых, среди которых необходимо отметить исследования М.Ф. Лукьяненко, Г.С. Курдюмова, А.В. Чекарева, А.П. Сергеева и др.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Целью данной работы выступает реферирование юридической литературы по вопросу форм гражданско-правовой ответственности и проблем доказывания убытков.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изучении юридической литературы было выяснено, что одно из наиболее важных мест в сфере доказывания убытков занимает проблема распределения бремени доказывания между ответчиком и истцом. Так, наиболее остро данная проблема стоит при привлечении директоров коммерческих организаций к гражданско-правовой ответственности в виде взыскания убытков. </w:t>
      </w:r>
    </w:p>
    <w:p w:rsidR="00000000" w:rsidDel="00000000" w:rsidP="00000000" w:rsidRDefault="00000000" w:rsidRPr="00000000" w14:paraId="00000038">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480" w:before="480" w:line="360" w:lineRule="auto"/>
        <w:ind w:left="0" w:right="0" w:firstLine="0"/>
        <w:jc w:val="center"/>
        <w:rPr>
          <w:rFonts w:ascii="Times New Roman" w:cs="Times New Roman" w:eastAsia="Times New Roman" w:hAnsi="Times New Roman"/>
          <w:b w:val="0"/>
          <w:sz w:val="28"/>
          <w:szCs w:val="28"/>
        </w:rPr>
      </w:pPr>
      <w:bookmarkStart w:colFirst="0" w:colLast="0" w:name="_ju0d6044omy5" w:id="1"/>
      <w:bookmarkEnd w:id="1"/>
      <w:r w:rsidDel="00000000" w:rsidR="00000000" w:rsidRPr="00000000">
        <w:rPr>
          <w:rFonts w:ascii="Times New Roman" w:cs="Times New Roman" w:eastAsia="Times New Roman" w:hAnsi="Times New Roman"/>
          <w:b w:val="0"/>
          <w:sz w:val="28"/>
          <w:szCs w:val="28"/>
          <w:rtl w:val="0"/>
        </w:rPr>
        <w:t xml:space="preserve">Формы ответственности исполнителя, проблема доказывания убытков</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из институтов Общей части Гражданского кодекса Российской Федерации (далее - ГК РФ)</w:t>
      </w:r>
      <w:r w:rsidDel="00000000" w:rsidR="00000000" w:rsidRPr="00000000">
        <w:rPr>
          <w:rFonts w:ascii="Times New Roman" w:cs="Times New Roman" w:eastAsia="Times New Roman" w:hAnsi="Times New Roman"/>
          <w:sz w:val="28"/>
          <w:szCs w:val="28"/>
          <w:vertAlign w:val="superscript"/>
        </w:rPr>
        <w:footnoteReference w:customMarkFollows="0" w:id="0"/>
      </w:r>
      <w:r w:rsidDel="00000000" w:rsidR="00000000" w:rsidRPr="00000000">
        <w:rPr>
          <w:rFonts w:ascii="Times New Roman" w:cs="Times New Roman" w:eastAsia="Times New Roman" w:hAnsi="Times New Roman"/>
          <w:sz w:val="28"/>
          <w:szCs w:val="28"/>
          <w:rtl w:val="0"/>
        </w:rPr>
        <w:t xml:space="preserve"> выступает институт гражданско-правовой ответственности.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действующем ГК РФ существует отдельная глава, которая содержит в себе положения о гражданско-правовой ответственности, применяемой в случае нарушения лицом своих обязательств. Речь идет о двадцать пятой главе ГК РФ. Однако в указанной главе кодекса, как и в других главах, отсутствует определение понятия гражданско-правовой ответственности.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Определение понятия гражданско-правовой ответственности дается разными учеными-юристами. Однако не все определения описывают гражданско-правовую ответственность в полном объеме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например, в учебнике гражданского права М.Ф. Лукьяненко приводится определение гражданско-правовой ответственности, данное В.П. Грибановым. По его мнению гражданско-правовая ответственность представляет собой форму принуждения в виде санкций имущественного характера, которая применяется государством. В.П. Грибанов указывает, что такие санкции необходимы для того, чтобы восстановить нарушенные права. При этом такой характер санкций выражается в яркой форме. Он считает, что такие санкции выступают успешным стимулом для эффективных отношений участников гражданского оборота в сфере экономики, которые равны между собой</w:t>
      </w:r>
      <w:r w:rsidDel="00000000" w:rsidR="00000000" w:rsidRPr="00000000">
        <w:rPr>
          <w:rFonts w:ascii="Times New Roman" w:cs="Times New Roman" w:eastAsia="Times New Roman" w:hAnsi="Times New Roman"/>
          <w:sz w:val="28"/>
          <w:szCs w:val="28"/>
          <w:vertAlign w:val="superscript"/>
        </w:rPr>
        <w:footnoteReference w:customMarkFollows="0" w:id="1"/>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Или, например, ученый-правовед О.С. Иоффе в своих исследованиях не раз утверждал, что гражданско-правовая ответственность представляет собой санкцию, которая влечет за собой конкретные ограничения неимущественного и имущественного характера.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Формы гражданско-правовой ответственности не перечислены в Гражданском кодексе Российской Федерации в определенной статье, однако они содержаться в самом кодексе.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можно выделить следующие формы рассматриваемой ответственности: уплата неустойки, предусмотренная статьей 330 Гражданского кодекса РФ; возмещение убытков, предусмотренное статьей 15 гражданского кодекса РФ; потеря задатка, предусмотренная статьей 381 Гражданского кодекса РФ; взыскание процентов в связи с использованием чужих денежных средств, предусмотренное статьей 395 Гражданского кодекса РФ. </w:t>
      </w:r>
    </w:p>
    <w:p w:rsidR="00000000" w:rsidDel="00000000" w:rsidP="00000000" w:rsidRDefault="00000000" w:rsidRPr="00000000" w14:paraId="00000042">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изучении юридической литературы было выяснено, что одно из наиболее важных мест в сфере доказывания убытков занимает проблема распределения бремени доказывания между ответчиком и истцом. Так, наиболее остро данная проблема стоит при привлечении директоров коммерческих организаций к гражданско-правовой ответственности в виде взыскания убытков</w:t>
      </w:r>
      <w:r w:rsidDel="00000000" w:rsidR="00000000" w:rsidRPr="00000000">
        <w:rPr>
          <w:rFonts w:ascii="Times New Roman" w:cs="Times New Roman" w:eastAsia="Times New Roman" w:hAnsi="Times New Roman"/>
          <w:sz w:val="28"/>
          <w:szCs w:val="28"/>
          <w:vertAlign w:val="superscript"/>
        </w:rPr>
        <w:footnoteReference w:customMarkFollows="0" w:id="2"/>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Часть 3 статьи 53 ГК РФ устанавливает, что лицо, уполномоченное выступать от имени юридического лица, обязано осуществлять только те действия, которые охраняют интересы такого юридического лица, а также действовать разумно и добросовестно. Лицо может быть уполномочено учредительным документов или же правовым актом.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Часть 1 статьи 53.1 Гражданского кодекса Российской Федерации устанавливает, что в случае неисполнения лицом своих обязательств, возможно его привлечение к ответственности. При этом такое лицо обязано возместить все убытки, которые были причинены юридическому лицу по его вине. Так, положения Гражданского кодекса Российской Федерации предоставляют судам возможность привлечь исполнительный орган юридического лица к гражданско-правовой ответственности. Однако до сих пор нерешенным остается ситуация, в которой руководители коммерческих организаций злоупотребляют доверием участников, пользуются в личных целях ресурсами такой организации и не выполняют необходимым образом свои обязанности.</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мнению А.В. Чекарева и Г.С. Курдюмова институт гражданско-правовой ответственности, который в случае незаконных действий или бездействия, а также незаконных решений исполнительных органов юридических лиц позволяет взыскать с такого органа убытки, необходим для успешной защиты прав других участников. Однако для эффективной реализации механизма привлечения руководителя коммерческой организации к гражданско-правовой ответственности за убытки необходимо, чтобы институт распределения бремени доказывания был верно урегулирован. То есть не должно быть пробелов в его регулировании и проблемных вопросов, которые на самом деле существуют</w:t>
      </w:r>
      <w:r w:rsidDel="00000000" w:rsidR="00000000" w:rsidRPr="00000000">
        <w:rPr>
          <w:rFonts w:ascii="Times New Roman" w:cs="Times New Roman" w:eastAsia="Times New Roman" w:hAnsi="Times New Roman"/>
          <w:sz w:val="28"/>
          <w:szCs w:val="28"/>
          <w:vertAlign w:val="superscript"/>
        </w:rPr>
        <w:footnoteReference w:customMarkFollows="0" w:id="3"/>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ВАС РФ в своем Постановлении №62 от 2013 года</w:t>
      </w:r>
      <w:r w:rsidDel="00000000" w:rsidR="00000000" w:rsidRPr="00000000">
        <w:rPr>
          <w:rFonts w:ascii="Times New Roman" w:cs="Times New Roman" w:eastAsia="Times New Roman" w:hAnsi="Times New Roman"/>
          <w:sz w:val="28"/>
          <w:szCs w:val="28"/>
          <w:vertAlign w:val="superscript"/>
        </w:rPr>
        <w:footnoteReference w:customMarkFollows="0" w:id="4"/>
      </w:r>
      <w:r w:rsidDel="00000000" w:rsidR="00000000" w:rsidRPr="00000000">
        <w:rPr>
          <w:rFonts w:ascii="Times New Roman" w:cs="Times New Roman" w:eastAsia="Times New Roman" w:hAnsi="Times New Roman"/>
          <w:sz w:val="28"/>
          <w:szCs w:val="28"/>
          <w:rtl w:val="0"/>
        </w:rPr>
        <w:t xml:space="preserve"> попытался установить единообразие в вопросах распределения бремени доказывания при привлечении руководителя коммерческой организации к гражданско-правовой ответственности в виде убытков. Так, в пункте 1 указанного Постановления указано, что в первую очередь истец должен доказать то, что обстоятельства, которые говорят о неразумных и недобросовестных действиях или бездействии руководителя (директора), действительно существуют. При этом такие действия или бездействие должны повлечь негативные последствия для такого юридического лица, в том числе убытки.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этого ответчик обязан пояснить свои действия или бездействия, объяснить в чем заключаются причины таких негативных последствий и убытков. При этом ответчик обязан предоставить доказательства, которые подтверждали бы его объяснения. Следует отметить, что согласно статье 1 Гражданского кодекса Российской Федерации суд может признать поведение руководителя недобросовестным в том случае, если он отказывается от дачи пояснения, дает по мнению суда неполные объяснения или не приходит в суд совсем. В такой ситуации суд имеет право возложить бремя доказывания на руководителя.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Порядок, который был установлен ВАС РФ в своем Постановлении №62 от 2013 года с момента его принятия не один раз подтверждал свою эффективность. Несмотря на такую эффективность проблемные вопросы все равно возникают на практике. Так, при отсутствии всей необходимой документации появляется вопрос о том, каким образом истец может доказать неразумность или же недобросовестность действий (бездействия) руководителя, наличие убытков?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Анализ судебной практики подтверждает, что истец не освобождается от бремени доказывания в том случае, если у него отсутствует вся необходимая документация, свидетельствующая о недобросовестности действий (бездействия) руководителя, наличии убытков.В подавляющем большинстве судебных решений предусмотрена именно такая позиция.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например, согласно Постановлению Арбитражного суда Московского округа от 2017 года</w:t>
      </w:r>
      <w:r w:rsidDel="00000000" w:rsidR="00000000" w:rsidRPr="00000000">
        <w:rPr>
          <w:rFonts w:ascii="Times New Roman" w:cs="Times New Roman" w:eastAsia="Times New Roman" w:hAnsi="Times New Roman"/>
          <w:sz w:val="28"/>
          <w:szCs w:val="28"/>
          <w:vertAlign w:val="superscript"/>
        </w:rPr>
        <w:footnoteReference w:customMarkFollows="0" w:id="5"/>
      </w:r>
      <w:r w:rsidDel="00000000" w:rsidR="00000000" w:rsidRPr="00000000">
        <w:rPr>
          <w:rFonts w:ascii="Times New Roman" w:cs="Times New Roman" w:eastAsia="Times New Roman" w:hAnsi="Times New Roman"/>
          <w:sz w:val="28"/>
          <w:szCs w:val="28"/>
          <w:rtl w:val="0"/>
        </w:rPr>
        <w:t xml:space="preserve"> в суд обратился истец, который являлся акционером общества. Истец требовал от лица, который временно исполнял обязанности единоличного исполнительного органа и руководителя организации взыскания убытков. По его мнению убытки должны были быть взысканы солидарно, так как они были причинены в связи их совместных действий, а именно заключения сделок, носящих заведомо невыгодные условия для всего общества. При этом истец указал, что у него отсутствует вся необходимая документация, так как ответчики уклоняются от передачи таких документов. Суд указал, что бремя доказывания необходимо возложить на истца, так как он обязан доказать отсутствие всей необходимой документации.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Необходимо отметить, что в последнее время похожие ситуации, когда истцу не передается вся необходимая информация от ответчика, практически не происходит, так как сегодня истцу не сложно доказать факт того, что руководитель не передает документацию. Однако происходят ситуации, которые носят более сложный характер. Так, в качестве доказательства передачи всей необходимой документации принимается акт-приема передачи документов, но в таком акте могут быть предусмотрены не все необходимые документы.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качестве примера можно привести Постановление Арбитражного суда Северо-Западного округа от 2019 года</w:t>
      </w:r>
      <w:r w:rsidDel="00000000" w:rsidR="00000000" w:rsidRPr="00000000">
        <w:rPr>
          <w:rFonts w:ascii="Times New Roman" w:cs="Times New Roman" w:eastAsia="Times New Roman" w:hAnsi="Times New Roman"/>
          <w:sz w:val="28"/>
          <w:szCs w:val="28"/>
          <w:vertAlign w:val="superscript"/>
        </w:rPr>
        <w:footnoteReference w:customMarkFollows="0" w:id="6"/>
      </w:r>
      <w:r w:rsidDel="00000000" w:rsidR="00000000" w:rsidRPr="00000000">
        <w:rPr>
          <w:rFonts w:ascii="Times New Roman" w:cs="Times New Roman" w:eastAsia="Times New Roman" w:hAnsi="Times New Roman"/>
          <w:sz w:val="28"/>
          <w:szCs w:val="28"/>
          <w:rtl w:val="0"/>
        </w:rPr>
        <w:t xml:space="preserve">, согласно которому в суд обратился истец - Общество с ограниченной ответственностью «ПКО Многоцелевые Тактические Системы» с просьбой взыскать с ответчика убытки. В качестве ответчика выступил директор. Истец указал, что при выполнении своих обязанностей ответчик заключил сразу несколько сделок, которые привели к убыткам в виде неполученного возмещения по активам, которые были потрачены. При этом ответчик не предупредил о совершенных сделках других участников, то есть скрыл факт заключения сделок. После того, как истец узнал о таких сделках, он потребовал у директора всю необходимую документацию.</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Суд, проанализировав материалы дела, отказал в удовлетворении искового заявления ООО, так как указал, что отсутствует причинно-следственная связь между действием директора и понесенными Обществом убытки. При этом суд указал, что истец требовал у директора только часть документов, которые не были предусмотрены в акте приема-передачи.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480" w:before="480" w:line="360" w:lineRule="auto"/>
        <w:ind w:left="0" w:right="0" w:firstLine="0"/>
        <w:jc w:val="center"/>
        <w:rPr>
          <w:rFonts w:ascii="Times New Roman" w:cs="Times New Roman" w:eastAsia="Times New Roman" w:hAnsi="Times New Roman"/>
          <w:b w:val="0"/>
          <w:sz w:val="28"/>
          <w:szCs w:val="28"/>
        </w:rPr>
      </w:pPr>
      <w:bookmarkStart w:colFirst="0" w:colLast="0" w:name="_w4ynu3g3e87k" w:id="2"/>
      <w:bookmarkEnd w:id="2"/>
      <w:r w:rsidDel="00000000" w:rsidR="00000000" w:rsidRPr="00000000">
        <w:rPr>
          <w:rFonts w:ascii="Times New Roman" w:cs="Times New Roman" w:eastAsia="Times New Roman" w:hAnsi="Times New Roman"/>
          <w:b w:val="0"/>
          <w:sz w:val="28"/>
          <w:szCs w:val="28"/>
          <w:rtl w:val="0"/>
        </w:rPr>
        <w:t xml:space="preserve">Заключение</w:t>
      </w:r>
    </w:p>
    <w:p w:rsidR="00000000" w:rsidDel="00000000" w:rsidP="00000000" w:rsidRDefault="00000000" w:rsidRPr="00000000" w14:paraId="00000050">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Исходя из вышеизложенного можно сделать вывод, что акт приема-передачи на сегодняшний день рассматривается арбитражными судами как действительное доказательство того, что руководитель добросовестно передал все требуемые документы, даже если в акте приема-передачи не указан весь перечень документации, необходимый для разрешения дела. </w:t>
      </w:r>
    </w:p>
    <w:p w:rsidR="00000000" w:rsidDel="00000000" w:rsidP="00000000" w:rsidRDefault="00000000" w:rsidRPr="00000000" w14:paraId="00000051">
      <w:pPr>
        <w:spacing w:after="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Принимая акты приема-передачи документации с неполным перечнем документов как относимые, допустимые и достоверные доказательства, арбитражные суды возлагают бремя доказывания недобросовестности и неразумности руководителя и наличие убытков на истца, который, как правило, документов, необходимых для доказывания своей позиции, не имеет. Такая позиция не соответствует арбитражному процессуальному законодательству и устоявшейся судебной практике, выраженной, прежде всего, в постановлении Президиума ВАС РФ от 29 января 2013 г. по делу № А51-15943/2011. В данном акте указано, что, исходя из объективной невозможности доказать отрицательный факт, суду на основании ст. 65 АПК РФ необходимо возлагать бремя доказывания обратного на ответчика по делу.</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Кроме того, сложившаяся в судебной практике ситуация приводит не только к нарушению судебного права на защиту участниками корпоративных отношений своих прав и законных интересов, но и к многочисленным злоупотреблениям со стороны исполнительных органов компаний. Поэтому, как указывают многие авторы: «видится целесообразным формирование у арбитражных судов правовой позиции, заключающейся в том, что, подписание акта приема-передачи документации юридического лица бывшим директором само по себе не исключает недобросовестность или неразумность его бездействия и оценивается в совокупности с другими доказательствами».</w:t>
      </w: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spacing w:after="480" w:line="360" w:lineRule="auto"/>
        <w:jc w:val="center"/>
        <w:rPr>
          <w:rFonts w:ascii="Times New Roman" w:cs="Times New Roman" w:eastAsia="Times New Roman" w:hAnsi="Times New Roman"/>
          <w:b w:val="0"/>
          <w:sz w:val="28"/>
          <w:szCs w:val="28"/>
        </w:rPr>
      </w:pPr>
      <w:bookmarkStart w:colFirst="0" w:colLast="0" w:name="_r653pgxc2cbr" w:id="3"/>
      <w:bookmarkEnd w:id="3"/>
      <w:r w:rsidDel="00000000" w:rsidR="00000000" w:rsidRPr="00000000">
        <w:rPr>
          <w:rFonts w:ascii="Times New Roman" w:cs="Times New Roman" w:eastAsia="Times New Roman" w:hAnsi="Times New Roman"/>
          <w:b w:val="0"/>
          <w:sz w:val="28"/>
          <w:szCs w:val="28"/>
          <w:rtl w:val="0"/>
        </w:rPr>
        <w:t xml:space="preserve">Список реферируемой литературы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Нормативные правовые акты </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Гражданский кодекс Российской Федерации от 30.11.1994 N 51-ФЗ (ред. от 28.06.2021, с изм. от 26.10.2021) // СПС Консультант Плюс, 2021 (дата обращения: 17.11.2021)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Специальная литература</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Курдюмов Г.С., Чекарева А.В. Взыскание убытков с недобросовестного директора: перераспределение бремени доказывания и перевес доказательств // URL: https://wiselawyer.ru/poleznoe/64485-vzyskanie-ubytkov-nedobrosovestnogodirektora-pereraspredelenie-bremeni-dokazyvaniya (дата обращения: 17.11.2021)</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Лукьяненко М. Ф. Гражданское право Российской Федерации. Общая часть: учебное пособие. 3-е изд., перераб. и доп. - Тюмень: Издательство Тюменского государственного университета, 2011. - 460 с. </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Сергеева А.П. Гражданское право: учебник в 3-х т. Т.1. 2-е изд., перераб. и доп. - Москва: Проспект, 2018. - 1040 с.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Материалы судебной практики </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Постановление Пленума ВАС РФ от 30 июля 2013 г. № 62 «О некоторых вопросах возмещения убытков лицами, входящими в состав органов юридического лица» // Экономика и жизнь (Бухгалтерское приложение). 2013. № 34 // СПС Консультант Плюс, 2021 (дата обращения: 17.11.2021) </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Постановление Арбитражного суда Северо-Западного округа от 18 октября 2019 г. по делу № А56-56029/2018 // СПС Консультант Плюс, 2021 (дата обращения: 17.11.2021) </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Постановление Арбитражного суда Московского округа от 02 февраля 2017 г. по делу № А40-215235/2015 // СПС Консультант Плюс, 2021 (дата обращения: 17.11.2021) </w:t>
      </w:r>
      <w:r w:rsidDel="00000000" w:rsidR="00000000" w:rsidRPr="00000000">
        <w:rPr>
          <w:rtl w:val="0"/>
        </w:rPr>
      </w:r>
    </w:p>
    <w:sectPr>
      <w:headerReference r:id="rId8" w:type="default"/>
      <w:headerReference r:id="rId9" w:type="first"/>
      <w:footerReference r:id="rId10" w:type="first"/>
      <w:pgSz w:h="16838" w:w="11906" w:orient="portrait"/>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5">
    <w:p w:rsidR="00000000" w:rsidDel="00000000" w:rsidP="00000000" w:rsidRDefault="00000000" w:rsidRPr="00000000" w14:paraId="00000060">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Постановление Арбитражного суда Московского округа от 02 февраля 2017 г. по делу № А40-215235/2015 // СПС Консультант Плюс, 2021 (дата обращения: 17.11.2021) </w:t>
      </w:r>
      <w:r w:rsidDel="00000000" w:rsidR="00000000" w:rsidRPr="00000000">
        <w:rPr>
          <w:rtl w:val="0"/>
        </w:rPr>
      </w:r>
    </w:p>
  </w:footnote>
  <w:footnote w:id="6">
    <w:p w:rsidR="00000000" w:rsidDel="00000000" w:rsidP="00000000" w:rsidRDefault="00000000" w:rsidRPr="00000000" w14:paraId="00000061">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Постановление Арбитражного суда Северо-Западного округа от 18 октября 2019 г. по делу № А56-56029/2018 // СПС Консультант Плюс, 2021 (дата обращения: 17.11.2021) </w:t>
      </w:r>
      <w:r w:rsidDel="00000000" w:rsidR="00000000" w:rsidRPr="00000000">
        <w:rPr>
          <w:rtl w:val="0"/>
        </w:rPr>
      </w:r>
    </w:p>
  </w:footnote>
  <w:footnote w:id="1">
    <w:p w:rsidR="00000000" w:rsidDel="00000000" w:rsidP="00000000" w:rsidRDefault="00000000" w:rsidRPr="00000000" w14:paraId="00000062">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Лукьяненко М. Ф. Гражданское право Российской Федерации. Общая часть: учебное пособие. 3-е изд., перераб. и доп. — Тюмень: Издательство Тюменского государственного университета, 2011. С.384</w:t>
      </w:r>
    </w:p>
  </w:footnote>
  <w:footnote w:id="0">
    <w:p w:rsidR="00000000" w:rsidDel="00000000" w:rsidP="00000000" w:rsidRDefault="00000000" w:rsidRPr="00000000" w14:paraId="00000063">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8"/>
          <w:szCs w:val="28"/>
          <w:rtl w:val="0"/>
        </w:rPr>
        <w:t xml:space="preserve">Г</w:t>
      </w:r>
      <w:r w:rsidDel="00000000" w:rsidR="00000000" w:rsidRPr="00000000">
        <w:rPr>
          <w:rFonts w:ascii="Times New Roman" w:cs="Times New Roman" w:eastAsia="Times New Roman" w:hAnsi="Times New Roman"/>
          <w:sz w:val="20"/>
          <w:szCs w:val="20"/>
          <w:rtl w:val="0"/>
        </w:rPr>
        <w:t xml:space="preserve">ражданский кодекс Российской Федерации от 30.11.1994 N 51-ФЗ (ред. от 28.06.2021, с изм. от 26.10.2021) // СПС Консультант Плюс, 2021 (дата обращения: 17.11.2021) </w:t>
      </w:r>
      <w:r w:rsidDel="00000000" w:rsidR="00000000" w:rsidRPr="00000000">
        <w:rPr>
          <w:rtl w:val="0"/>
        </w:rPr>
      </w:r>
    </w:p>
  </w:footnote>
  <w:footnote w:id="3">
    <w:p w:rsidR="00000000" w:rsidDel="00000000" w:rsidP="00000000" w:rsidRDefault="00000000" w:rsidRPr="00000000" w14:paraId="00000064">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Курдюмов Г.С., Чекарева А.В. Взыскание убытков с недобросовестного директора: перераспределение бремени доказывания и перевес доказательств // URL: https://wiselawyer.ru/poleznoe/64485-vzyskanie-ubytkov-nedobrosovestnogodirektora-pereraspredelenie-bremeni-dokazyvaniya (дата обращения: 17.11.2021)</w:t>
      </w:r>
      <w:r w:rsidDel="00000000" w:rsidR="00000000" w:rsidRPr="00000000">
        <w:rPr>
          <w:rtl w:val="0"/>
        </w:rPr>
      </w:r>
    </w:p>
  </w:footnote>
  <w:footnote w:id="4">
    <w:p w:rsidR="00000000" w:rsidDel="00000000" w:rsidP="00000000" w:rsidRDefault="00000000" w:rsidRPr="00000000" w14:paraId="00000065">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Постановление Пленума ВАС РФ от 30 июля 2013 г. № 62 «О некоторых вопросах возмещения убытков лицами, входящими в состав органов юридического лица» // Экономика и жизнь (Бухгалтерское приложение). 2013. № 34 // СПС Консультант Плюс, 2021 (дата обращения: 17.11.2021) </w:t>
      </w:r>
      <w:r w:rsidDel="00000000" w:rsidR="00000000" w:rsidRPr="00000000">
        <w:rPr>
          <w:rtl w:val="0"/>
        </w:rPr>
      </w:r>
    </w:p>
  </w:footnote>
  <w:footnote w:id="2">
    <w:p w:rsidR="00000000" w:rsidDel="00000000" w:rsidP="00000000" w:rsidRDefault="00000000" w:rsidRPr="00000000" w14:paraId="00000066">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Сергеева А.П. Гражданское право: учебник в 3-х т. Т.1. 2-е изд., перераб. и доп. - Москва: Проспект, 2018. С.524</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